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271" w:rsidRDefault="00A816F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4"/>
          <w:lang w:eastAsia="ru-RU"/>
        </w:rPr>
      </w:pPr>
      <w:r>
        <w:rPr>
          <w:rFonts w:ascii="Arial" w:eastAsia="Times New Roman" w:hAnsi="Arial" w:cs="Arial"/>
          <w:b/>
          <w:sz w:val="32"/>
          <w:szCs w:val="24"/>
          <w:lang w:eastAsia="ru-RU"/>
        </w:rPr>
        <w:t>Стоимость электроэнергии для здания БЦ «Сэтл Центр»</w:t>
      </w:r>
    </w:p>
    <w:p w:rsidR="001F5271" w:rsidRDefault="00A816F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4"/>
          <w:lang w:eastAsia="ru-RU"/>
        </w:rPr>
      </w:pPr>
      <w:r>
        <w:rPr>
          <w:rFonts w:ascii="Arial" w:eastAsia="Times New Roman" w:hAnsi="Arial" w:cs="Arial"/>
          <w:b/>
          <w:sz w:val="32"/>
          <w:szCs w:val="24"/>
          <w:lang w:eastAsia="ru-RU"/>
        </w:rPr>
        <w:t>(ОЭПК «Ленинский 153»)</w:t>
      </w:r>
    </w:p>
    <w:p w:rsidR="001F5271" w:rsidRDefault="001F527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F5271" w:rsidRDefault="00A816FF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t xml:space="preserve">Стоимость электроэнергии для здания </w:t>
      </w:r>
      <w:r>
        <w:rPr>
          <w:rFonts w:ascii="Arial" w:eastAsia="Times New Roman" w:hAnsi="Arial" w:cs="Arial"/>
          <w:b/>
          <w:szCs w:val="24"/>
          <w:lang w:eastAsia="ru-RU"/>
        </w:rPr>
        <w:t>БЦ «Сэтл Центр» (ОЭПК «Ленинский 153»)</w:t>
      </w:r>
      <w:r>
        <w:rPr>
          <w:rFonts w:ascii="Arial" w:eastAsia="Times New Roman" w:hAnsi="Arial" w:cs="Arial"/>
          <w:szCs w:val="24"/>
          <w:lang w:eastAsia="ru-RU"/>
        </w:rPr>
        <w:t xml:space="preserve"> определяется на основании договора </w:t>
      </w:r>
      <w:r>
        <w:rPr>
          <w:rFonts w:ascii="Arial" w:eastAsia="Times New Roman" w:hAnsi="Arial" w:cs="Arial"/>
          <w:b/>
          <w:szCs w:val="24"/>
          <w:lang w:eastAsia="ru-RU"/>
        </w:rPr>
        <w:t>№03047 от 04.12.2014</w:t>
      </w:r>
      <w:r>
        <w:rPr>
          <w:rFonts w:ascii="Arial" w:eastAsia="Times New Roman" w:hAnsi="Arial" w:cs="Arial"/>
          <w:szCs w:val="24"/>
          <w:lang w:eastAsia="ru-RU"/>
        </w:rPr>
        <w:t xml:space="preserve"> между </w:t>
      </w:r>
      <w:r>
        <w:rPr>
          <w:rFonts w:ascii="Arial" w:eastAsia="Times New Roman" w:hAnsi="Arial" w:cs="Arial"/>
          <w:b/>
          <w:szCs w:val="24"/>
          <w:lang w:eastAsia="ru-RU"/>
        </w:rPr>
        <w:t>ОАО «ПСК»</w:t>
      </w:r>
      <w:r>
        <w:rPr>
          <w:rFonts w:ascii="Arial" w:eastAsia="Times New Roman" w:hAnsi="Arial" w:cs="Arial"/>
          <w:szCs w:val="24"/>
          <w:lang w:eastAsia="ru-RU"/>
        </w:rPr>
        <w:t xml:space="preserve"> и </w:t>
      </w:r>
      <w:r>
        <w:rPr>
          <w:rFonts w:ascii="Arial" w:eastAsia="Times New Roman" w:hAnsi="Arial" w:cs="Arial"/>
          <w:b/>
          <w:szCs w:val="24"/>
          <w:lang w:eastAsia="ru-RU"/>
        </w:rPr>
        <w:t>ОЭПК «Ленинский 153» (БЦ «Сэтл Центр»)</w:t>
      </w:r>
      <w:r>
        <w:rPr>
          <w:rFonts w:ascii="Arial" w:eastAsia="Times New Roman" w:hAnsi="Arial" w:cs="Arial"/>
          <w:szCs w:val="24"/>
          <w:lang w:eastAsia="ru-RU"/>
        </w:rPr>
        <w:t xml:space="preserve">. По условиям договора поставка электроэнергии осуществляется по «двуставочному» тарифу и «третьей» ценовой категории. Что это такое и как это понимать описано в договоре. Для более простого понимания кратко опишем порядок формирования стоимости электроэнергии для здания БЦ «Сэтл Центр» (ОЭПК «Ленинский 153»): Конечная цена электроэнергии для </w:t>
      </w:r>
      <w:r>
        <w:rPr>
          <w:rFonts w:ascii="Arial" w:eastAsia="Times New Roman" w:hAnsi="Arial" w:cs="Arial"/>
          <w:b/>
          <w:szCs w:val="24"/>
          <w:lang w:eastAsia="ru-RU"/>
        </w:rPr>
        <w:t>БЦ «Сэтл Центр» (ОЭПК «Ленинский 153»)</w:t>
      </w:r>
      <w:r>
        <w:rPr>
          <w:rFonts w:ascii="Arial" w:eastAsia="Times New Roman" w:hAnsi="Arial" w:cs="Arial"/>
          <w:szCs w:val="24"/>
          <w:lang w:eastAsia="ru-RU"/>
        </w:rPr>
        <w:t xml:space="preserve"> состоит из суммы трёх составляющих:</w:t>
      </w:r>
    </w:p>
    <w:p w:rsidR="001F5271" w:rsidRDefault="001F5271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Cs w:val="24"/>
          <w:lang w:eastAsia="ru-RU"/>
        </w:rPr>
      </w:pPr>
    </w:p>
    <w:p w:rsidR="001F5271" w:rsidRDefault="00A816FF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567" w:hanging="425"/>
        <w:jc w:val="both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t xml:space="preserve">Средняя передаваемая мощность в месяц в часы с 7:00 до 15:00 часов и с 17:00 до 21:00 часов (кВт, </w:t>
      </w:r>
      <w:r>
        <w:rPr>
          <w:rFonts w:ascii="Arial" w:eastAsia="Times New Roman" w:hAnsi="Arial" w:cs="Arial"/>
          <w:b/>
          <w:szCs w:val="24"/>
          <w:lang w:eastAsia="ru-RU"/>
        </w:rPr>
        <w:t>УСЛУГИ ПО ПЕРЕДАЧЕ</w:t>
      </w:r>
      <w:r>
        <w:rPr>
          <w:rFonts w:ascii="Arial" w:eastAsia="Times New Roman" w:hAnsi="Arial" w:cs="Arial"/>
          <w:szCs w:val="24"/>
          <w:lang w:eastAsia="ru-RU"/>
        </w:rPr>
        <w:t>) умноженная на тариф стоимости мощности</w:t>
      </w:r>
      <w:r>
        <w:rPr>
          <w:rFonts w:ascii="Arial" w:eastAsia="Times New Roman" w:hAnsi="Arial" w:cs="Arial"/>
          <w:b/>
          <w:szCs w:val="24"/>
          <w:lang w:eastAsia="ru-RU"/>
        </w:rPr>
        <w:t xml:space="preserve"> ОАО «ПСК»</w:t>
      </w:r>
      <w:r>
        <w:rPr>
          <w:rFonts w:ascii="Arial" w:eastAsia="Times New Roman" w:hAnsi="Arial" w:cs="Arial"/>
          <w:szCs w:val="24"/>
          <w:lang w:eastAsia="ru-RU"/>
        </w:rPr>
        <w:t>.</w:t>
      </w:r>
    </w:p>
    <w:p w:rsidR="001F5271" w:rsidRDefault="00A816F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t>В стоимости электроэнергии эта составляющая занимает от 40% до 70% (в зависимости от уровня напряжения). Тарифы на передачу устанавливаются региональными органами по регулированию тарифов, и одинаковы для всех потребителей в регионе. Тарифы на передачу дифференцируются по уровню напряжения:</w:t>
      </w:r>
    </w:p>
    <w:p w:rsidR="001F5271" w:rsidRDefault="00A816FF">
      <w:p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t>Высокое (ВН) – 110 кВ и выше;</w:t>
      </w:r>
    </w:p>
    <w:p w:rsidR="001F5271" w:rsidRDefault="00A816FF">
      <w:p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t>Среднее первое (СН I) – 35 кВ;</w:t>
      </w:r>
    </w:p>
    <w:p w:rsidR="001F5271" w:rsidRDefault="00A816FF">
      <w:p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t>Среднее второе (СН II) – от 1 до 20 кВ;</w:t>
      </w:r>
    </w:p>
    <w:p w:rsidR="001F5271" w:rsidRDefault="00A816FF">
      <w:p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t>Низкое (НН) – 0,4 кВ и ниже;</w:t>
      </w:r>
    </w:p>
    <w:p w:rsidR="001F5271" w:rsidRDefault="00A816FF">
      <w:p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t>Генераторное напряжение (ГН) - 110 кВ и выше в случае присоединения потребителя к энергосистеме через распредустройства производителя электроэнергии;</w:t>
      </w:r>
    </w:p>
    <w:p w:rsidR="001F5271" w:rsidRDefault="00A816FF">
      <w:pPr>
        <w:shd w:val="clear" w:color="auto" w:fill="FFFFFF"/>
        <w:spacing w:after="0" w:line="240" w:lineRule="auto"/>
        <w:ind w:left="426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t>Высокое напряжение первое (ВН1) - в случае присоединения потребителя к сети федеральной сетевой компании, через оборудование, которое в установленном порядке было сдано в аренду.</w:t>
      </w:r>
    </w:p>
    <w:p w:rsidR="001F5271" w:rsidRDefault="00A816FF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t xml:space="preserve">При присоединении к сети на уровнях напряжения с 1 по 4 (ВН, СН1, СН2, НН) потребитель вправе выбрать вид тарифа на передачу - одноставочный или двуставочный. Тариф можно выбрать только раз в год, к зданию </w:t>
      </w:r>
      <w:r>
        <w:rPr>
          <w:rFonts w:ascii="Arial" w:eastAsia="Times New Roman" w:hAnsi="Arial" w:cs="Arial"/>
          <w:b/>
          <w:szCs w:val="24"/>
          <w:lang w:eastAsia="ru-RU"/>
        </w:rPr>
        <w:t>БЦ «Сэтл Центр» (ОЭПК «Ленинский 153»)</w:t>
      </w:r>
      <w:r>
        <w:rPr>
          <w:rFonts w:ascii="Arial" w:eastAsia="Times New Roman" w:hAnsi="Arial" w:cs="Arial"/>
          <w:szCs w:val="24"/>
          <w:lang w:eastAsia="ru-RU"/>
        </w:rPr>
        <w:t xml:space="preserve"> применён двуставочный тариф.</w:t>
      </w:r>
    </w:p>
    <w:p w:rsidR="001F5271" w:rsidRDefault="00A816FF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567" w:hanging="425"/>
        <w:jc w:val="both"/>
        <w:rPr>
          <w:rFonts w:ascii="Arial" w:eastAsia="Times New Roman" w:hAnsi="Arial" w:cs="Arial"/>
          <w:b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t xml:space="preserve">Потреблённая электроэнергия по нерегулируемым ценам (кВт/час, </w:t>
      </w:r>
      <w:r>
        <w:rPr>
          <w:rFonts w:ascii="Arial" w:eastAsia="Times New Roman" w:hAnsi="Arial" w:cs="Arial"/>
          <w:b/>
          <w:szCs w:val="24"/>
          <w:lang w:eastAsia="ru-RU"/>
        </w:rPr>
        <w:t>фактически потребленная</w:t>
      </w:r>
      <w:r>
        <w:rPr>
          <w:rFonts w:ascii="Arial" w:eastAsia="Times New Roman" w:hAnsi="Arial" w:cs="Arial"/>
          <w:szCs w:val="24"/>
          <w:lang w:eastAsia="ru-RU"/>
        </w:rPr>
        <w:t xml:space="preserve">) умноженная на тариф электроэнергии </w:t>
      </w:r>
      <w:r>
        <w:rPr>
          <w:rFonts w:ascii="Arial" w:eastAsia="Times New Roman" w:hAnsi="Arial" w:cs="Arial"/>
          <w:b/>
          <w:szCs w:val="24"/>
          <w:lang w:eastAsia="ru-RU"/>
        </w:rPr>
        <w:t>ОАО «ПСК»</w:t>
      </w:r>
      <w:r>
        <w:rPr>
          <w:rFonts w:ascii="Arial" w:eastAsia="Times New Roman" w:hAnsi="Arial" w:cs="Arial"/>
          <w:szCs w:val="24"/>
          <w:lang w:eastAsia="ru-RU"/>
        </w:rPr>
        <w:t xml:space="preserve"> (</w:t>
      </w:r>
      <w:r>
        <w:rPr>
          <w:rFonts w:ascii="Arial" w:eastAsia="Times New Roman" w:hAnsi="Arial" w:cs="Arial"/>
          <w:b/>
          <w:szCs w:val="24"/>
          <w:lang w:eastAsia="ru-RU"/>
        </w:rPr>
        <w:t>ЦЕНА ЭЛЕКТРОЭНЕРГИИ</w:t>
      </w:r>
      <w:r>
        <w:rPr>
          <w:rFonts w:ascii="Arial" w:eastAsia="Times New Roman" w:hAnsi="Arial" w:cs="Arial"/>
          <w:szCs w:val="24"/>
          <w:lang w:eastAsia="ru-RU"/>
        </w:rPr>
        <w:t>)</w:t>
      </w:r>
      <w:bookmarkStart w:id="0" w:name="цена_электроэнергии_на_орэм"/>
      <w:bookmarkEnd w:id="0"/>
    </w:p>
    <w:p w:rsidR="001F5271" w:rsidRDefault="00A816FF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t xml:space="preserve">Это цена покупки электроэнергии выработанной генерирующими компаниями и купленной поставщиком на оптовом рынке. В итоговой цене для </w:t>
      </w:r>
      <w:r>
        <w:rPr>
          <w:rFonts w:ascii="Arial" w:eastAsia="Times New Roman" w:hAnsi="Arial" w:cs="Arial"/>
          <w:b/>
          <w:szCs w:val="24"/>
          <w:lang w:eastAsia="ru-RU"/>
        </w:rPr>
        <w:t>БЦ «Сэтл Центр» (ОЭПК «Ленинский 153»)</w:t>
      </w:r>
      <w:r>
        <w:rPr>
          <w:rFonts w:ascii="Arial" w:eastAsia="Times New Roman" w:hAnsi="Arial" w:cs="Arial"/>
          <w:szCs w:val="24"/>
          <w:lang w:eastAsia="ru-RU"/>
        </w:rPr>
        <w:t xml:space="preserve"> эта составляющая занимает примерно от 15% до 30%. Цена формируется на оптовом рынке за счет конкурентного отбора заявок спроса и предложения на рынке на сутки вперед (РСВ), а также купли-продажи отклонений на балансирующем рынке (БР). При формировании данного рынка используется механизм маржинального ценообразования, то есть, - чем выше объем потребления на рынке в конкретный час суток, тем выше будет и цена. Максимальный объем потребления приходится на дневные часы (с 7 до 15 и с 17 до 21 часов), следовательно, и максимальная цена электроэнергии приходится на это же время. Таким образом, итоговая (среднесуточная) цена электроэнергии зависит от графика работы </w:t>
      </w:r>
      <w:r>
        <w:rPr>
          <w:rFonts w:ascii="Arial" w:eastAsia="Times New Roman" w:hAnsi="Arial" w:cs="Arial"/>
          <w:b/>
          <w:szCs w:val="24"/>
          <w:lang w:eastAsia="ru-RU"/>
        </w:rPr>
        <w:t>БЦ «Сэтл Центр» (ОЭПК «Ленинский 153»)</w:t>
      </w:r>
      <w:r>
        <w:rPr>
          <w:rFonts w:ascii="Arial" w:eastAsia="Times New Roman" w:hAnsi="Arial" w:cs="Arial"/>
          <w:szCs w:val="24"/>
          <w:lang w:eastAsia="ru-RU"/>
        </w:rPr>
        <w:t xml:space="preserve">, ведь цена электроэнергии. Основное потребление электроэнергии в здании </w:t>
      </w:r>
      <w:r>
        <w:rPr>
          <w:rFonts w:ascii="Arial" w:eastAsia="Times New Roman" w:hAnsi="Arial" w:cs="Arial"/>
          <w:b/>
          <w:szCs w:val="24"/>
          <w:lang w:eastAsia="ru-RU"/>
        </w:rPr>
        <w:t>БЦ «Сэтл Центр» (ОЭПК «Ленинский 153»)</w:t>
      </w:r>
      <w:r>
        <w:rPr>
          <w:rFonts w:ascii="Arial" w:eastAsia="Times New Roman" w:hAnsi="Arial" w:cs="Arial"/>
          <w:szCs w:val="24"/>
          <w:lang w:eastAsia="ru-RU"/>
        </w:rPr>
        <w:t xml:space="preserve"> осуществляется днем, т.е. в часы пикового потребления.</w:t>
      </w:r>
      <w:bookmarkStart w:id="1" w:name="N"/>
      <w:bookmarkEnd w:id="1"/>
    </w:p>
    <w:p w:rsidR="001F5271" w:rsidRDefault="00A816FF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567" w:hanging="425"/>
        <w:jc w:val="both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t>Среднее максимальное потребление за месяц (кВт) умноженное на тариф</w:t>
      </w:r>
      <w:r>
        <w:rPr>
          <w:rFonts w:ascii="Arial" w:eastAsia="Times New Roman" w:hAnsi="Arial" w:cs="Arial"/>
          <w:b/>
          <w:szCs w:val="24"/>
          <w:lang w:eastAsia="ru-RU"/>
        </w:rPr>
        <w:t xml:space="preserve"> ОАО «ПСК» (ЦЕНА МОЩНОСТИ)</w:t>
      </w:r>
    </w:p>
    <w:p w:rsidR="001F5271" w:rsidRDefault="00A816FF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t xml:space="preserve">Мощность - это готовность генерирующей компании в любой момент предоставить необходимый потребителю объем электроэнергии, она является вторым товаром, который обращается на оптовом рынке. Цена на мощность формируется помесячно в разрезе </w:t>
      </w:r>
      <w:hyperlink r:id="rId5" w:tgtFrame="_blank" w:history="1">
        <w:r>
          <w:rPr>
            <w:rFonts w:ascii="Arial" w:eastAsia="Times New Roman" w:hAnsi="Arial" w:cs="Arial"/>
            <w:szCs w:val="24"/>
            <w:lang w:eastAsia="ru-RU"/>
          </w:rPr>
          <w:t xml:space="preserve">зон свободного </w:t>
        </w:r>
        <w:proofErr w:type="spellStart"/>
        <w:r>
          <w:rPr>
            <w:rFonts w:ascii="Arial" w:eastAsia="Times New Roman" w:hAnsi="Arial" w:cs="Arial"/>
            <w:szCs w:val="24"/>
            <w:lang w:eastAsia="ru-RU"/>
          </w:rPr>
          <w:t>перетока</w:t>
        </w:r>
        <w:proofErr w:type="spellEnd"/>
        <w:r>
          <w:rPr>
            <w:rFonts w:ascii="Arial" w:eastAsia="Times New Roman" w:hAnsi="Arial" w:cs="Arial"/>
            <w:szCs w:val="24"/>
            <w:lang w:eastAsia="ru-RU"/>
          </w:rPr>
          <w:t xml:space="preserve"> мощности</w:t>
        </w:r>
      </w:hyperlink>
      <w:r>
        <w:rPr>
          <w:rFonts w:ascii="Arial" w:eastAsia="Times New Roman" w:hAnsi="Arial" w:cs="Arial"/>
          <w:szCs w:val="24"/>
          <w:lang w:eastAsia="ru-RU"/>
        </w:rPr>
        <w:t xml:space="preserve"> (ЗСП) и состоит из нескольких составляющих. Объем потребления мощности определяется как среднее из часовых объемов потребления в рабочие дни в часы пикового потребления в регионе (один час в день). Эти часы становятся известны только по факту, когда </w:t>
      </w:r>
      <w:r>
        <w:rPr>
          <w:rFonts w:ascii="Arial" w:eastAsia="Times New Roman" w:hAnsi="Arial" w:cs="Arial"/>
          <w:b/>
          <w:szCs w:val="24"/>
          <w:lang w:eastAsia="ru-RU"/>
        </w:rPr>
        <w:t>ОАО "ПСК"</w:t>
      </w:r>
      <w:r>
        <w:rPr>
          <w:rFonts w:ascii="Arial" w:eastAsia="Times New Roman" w:hAnsi="Arial" w:cs="Arial"/>
          <w:szCs w:val="24"/>
          <w:lang w:eastAsia="ru-RU"/>
        </w:rPr>
        <w:t xml:space="preserve"> выставляет </w:t>
      </w:r>
      <w:r>
        <w:rPr>
          <w:rFonts w:ascii="Arial" w:eastAsia="Times New Roman" w:hAnsi="Arial" w:cs="Arial"/>
          <w:b/>
          <w:szCs w:val="24"/>
          <w:lang w:eastAsia="ru-RU"/>
        </w:rPr>
        <w:t>СЧЕТ-ФАКТУРУ</w:t>
      </w:r>
      <w:r>
        <w:rPr>
          <w:rFonts w:ascii="Arial" w:eastAsia="Times New Roman" w:hAnsi="Arial" w:cs="Arial"/>
          <w:szCs w:val="24"/>
          <w:lang w:eastAsia="ru-RU"/>
        </w:rPr>
        <w:t>.</w:t>
      </w:r>
    </w:p>
    <w:p w:rsidR="001F5271" w:rsidRDefault="00A816FF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lastRenderedPageBreak/>
        <w:t>Здесь вы можете увидеть пример того, как это выглядит на ежемесячной счёт-фактуре от ОАО «ПСК»:</w:t>
      </w:r>
    </w:p>
    <w:p w:rsidR="001F5271" w:rsidRDefault="00A816FF" w:rsidP="00AE579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9896475" cy="5495925"/>
            <wp:effectExtent l="0" t="0" r="0" b="0"/>
            <wp:docPr id="1027" name="_x0000_t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96475" cy="5495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Cs w:val="24"/>
          <w:lang w:eastAsia="ru-RU"/>
        </w:rPr>
        <w:t xml:space="preserve">Т.о. из вышеописанного следует: для получения стоимости одного кВт электроэнергии для здания </w:t>
      </w:r>
      <w:r>
        <w:rPr>
          <w:rFonts w:ascii="Arial" w:eastAsia="Times New Roman" w:hAnsi="Arial" w:cs="Arial"/>
          <w:b/>
          <w:szCs w:val="24"/>
          <w:lang w:eastAsia="ru-RU"/>
        </w:rPr>
        <w:t>БЦ «Сэтл Центр» (ОЭПК «Ленинский 153»)</w:t>
      </w:r>
      <w:r>
        <w:rPr>
          <w:rFonts w:ascii="Arial" w:eastAsia="Times New Roman" w:hAnsi="Arial" w:cs="Arial"/>
          <w:szCs w:val="24"/>
          <w:lang w:eastAsia="ru-RU"/>
        </w:rPr>
        <w:t xml:space="preserve"> необходимо сложить стоимость всех трёх составляющих и разделить получившуюся сумму на кол-во фактически потребленной электроэнергии </w:t>
      </w:r>
      <w:r w:rsidRPr="00A816FF">
        <w:rPr>
          <w:rFonts w:ascii="Arial" w:eastAsia="Times New Roman" w:hAnsi="Arial" w:cs="Arial"/>
          <w:b/>
          <w:szCs w:val="24"/>
          <w:lang w:eastAsia="ru-RU"/>
        </w:rPr>
        <w:t>(Потреблённая электроэнергия по нерегулируемым ценам</w:t>
      </w:r>
      <w:proofErr w:type="gramStart"/>
      <w:r w:rsidRPr="00A816FF">
        <w:rPr>
          <w:rFonts w:ascii="Arial" w:eastAsia="Times New Roman" w:hAnsi="Arial" w:cs="Arial"/>
          <w:b/>
          <w:szCs w:val="24"/>
          <w:lang w:eastAsia="ru-RU"/>
        </w:rPr>
        <w:t>)</w:t>
      </w:r>
      <w:r>
        <w:rPr>
          <w:rFonts w:ascii="Arial" w:eastAsia="Times New Roman" w:hAnsi="Arial" w:cs="Arial"/>
          <w:szCs w:val="24"/>
          <w:lang w:eastAsia="ru-RU"/>
        </w:rPr>
        <w:t>.</w:t>
      </w:r>
      <w:r w:rsidR="00AE5790">
        <w:rPr>
          <w:rFonts w:ascii="Arial" w:eastAsia="Times New Roman" w:hAnsi="Arial" w:cs="Arial"/>
          <w:szCs w:val="24"/>
          <w:lang w:eastAsia="ru-RU"/>
        </w:rPr>
        <w:t>:</w:t>
      </w:r>
      <w:proofErr w:type="gramEnd"/>
    </w:p>
    <w:p w:rsidR="00AE5790" w:rsidRDefault="00AE5790">
      <w:pPr>
        <w:shd w:val="clear" w:color="auto" w:fill="FFFFFF"/>
        <w:spacing w:after="360" w:line="240" w:lineRule="auto"/>
        <w:jc w:val="both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eastAsia="Times New Roman" w:hAnsi="Arial" w:cs="Arial"/>
          <w:szCs w:val="24"/>
          <w:lang w:eastAsia="ru-RU"/>
        </w:rPr>
        <w:t xml:space="preserve">На примере скана СЧЕТ-ФАКТУРЫ: 963 175,44 руб. / 149 736 </w:t>
      </w:r>
      <w:proofErr w:type="spellStart"/>
      <w:r>
        <w:rPr>
          <w:rFonts w:ascii="Arial" w:eastAsia="Times New Roman" w:hAnsi="Arial" w:cs="Arial"/>
          <w:szCs w:val="24"/>
          <w:lang w:eastAsia="ru-RU"/>
        </w:rPr>
        <w:t>квт.ч</w:t>
      </w:r>
      <w:proofErr w:type="spellEnd"/>
      <w:r>
        <w:rPr>
          <w:rFonts w:ascii="Arial" w:eastAsia="Times New Roman" w:hAnsi="Arial" w:cs="Arial"/>
          <w:szCs w:val="24"/>
          <w:lang w:eastAsia="ru-RU"/>
        </w:rPr>
        <w:t xml:space="preserve"> = 6,43 руб/кВт.ч</w:t>
      </w:r>
      <w:bookmarkStart w:id="2" w:name="_GoBack"/>
      <w:bookmarkEnd w:id="2"/>
    </w:p>
    <w:sectPr w:rsidR="00AE5790">
      <w:pgSz w:w="16838" w:h="11906" w:orient="landscape"/>
      <w:pgMar w:top="426" w:right="568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13945A74"/>
    <w:lvl w:ilvl="0" w:tplc="861072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2"/>
    <w:multiLevelType w:val="multilevel"/>
    <w:tmpl w:val="CDC0C1A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 w15:restartNumberingAfterBreak="0">
    <w:nsid w:val="00000003"/>
    <w:multiLevelType w:val="multilevel"/>
    <w:tmpl w:val="5DCE324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 w15:restartNumberingAfterBreak="0">
    <w:nsid w:val="00000004"/>
    <w:multiLevelType w:val="multilevel"/>
    <w:tmpl w:val="8F9E024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 w15:restartNumberingAfterBreak="0">
    <w:nsid w:val="00000005"/>
    <w:multiLevelType w:val="hybridMultilevel"/>
    <w:tmpl w:val="64E8B058"/>
    <w:lvl w:ilvl="0" w:tplc="C0B472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F76ABA"/>
    <w:multiLevelType w:val="hybridMultilevel"/>
    <w:tmpl w:val="53F09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271"/>
    <w:rsid w:val="001F5271"/>
    <w:rsid w:val="00A816FF"/>
    <w:rsid w:val="00AE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B66309-17F6-4321-8F57-00539CE74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rPr>
      <w:color w:val="0000FF"/>
      <w:u w:val="single"/>
    </w:rPr>
  </w:style>
  <w:style w:type="paragraph" w:styleId="a5">
    <w:name w:val="Balloon Text"/>
    <w:basedOn w:val="a"/>
    <w:link w:val="a6"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encosts.ru/optoviy-rynok/karta-zon-svobodnogo-peretoka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643</Words>
  <Characters>3668</Characters>
  <Application>Microsoft Office Word</Application>
  <DocSecurity>0</DocSecurity>
  <Lines>30</Lines>
  <Paragraphs>8</Paragraphs>
  <ScaleCrop>false</ScaleCrop>
  <Company>Hewlett-Packard Company</Company>
  <LinksUpToDate>false</LinksUpToDate>
  <CharactersWithSpaces>4303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Лукьянов</dc:creator>
  <cp:lastModifiedBy>Лукьянов</cp:lastModifiedBy>
  <cp:revision>3</cp:revision>
  <cp:lastPrinted>2017-10-31T12:40:00Z</cp:lastPrinted>
  <dcterms:created xsi:type="dcterms:W3CDTF">2017-11-01T06:42:00Z</dcterms:created>
  <dcterms:modified xsi:type="dcterms:W3CDTF">2017-11-01T07:26:00Z</dcterms:modified>
</cp:coreProperties>
</file>